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color w:val="000000"/>
          <w:sz w:val="32"/>
          <w:szCs w:val="32"/>
          <w:lang w:eastAsia="zh-CN"/>
        </w:rPr>
      </w:pPr>
      <w:r>
        <w:rPr>
          <w:rFonts w:hint="eastAsia" w:ascii="Times New Roman" w:hAnsi="Times New Roman" w:eastAsia="方正小标宋简体" w:cs="Times New Roman"/>
          <w:bCs/>
          <w:color w:val="000000"/>
          <w:sz w:val="44"/>
          <w:szCs w:val="44"/>
          <w:lang w:eastAsia="zh-CN"/>
        </w:rPr>
        <w:t>关于《</w:t>
      </w:r>
      <w:r>
        <w:rPr>
          <w:rFonts w:hint="default" w:ascii="Times New Roman" w:hAnsi="Times New Roman" w:eastAsia="方正小标宋简体" w:cs="Times New Roman"/>
          <w:bCs/>
          <w:color w:val="000000"/>
          <w:sz w:val="44"/>
          <w:szCs w:val="44"/>
        </w:rPr>
        <w:t>沈阳市高端外国专家年薪资助实施细则</w:t>
      </w:r>
      <w:r>
        <w:rPr>
          <w:rFonts w:hint="eastAsia" w:ascii="Times New Roman" w:hAnsi="Times New Roman" w:eastAsia="方正小标宋简体" w:cs="Times New Roman"/>
          <w:bCs/>
          <w:color w:val="000000"/>
          <w:sz w:val="44"/>
          <w:szCs w:val="44"/>
          <w:lang w:eastAsia="zh-CN"/>
        </w:rPr>
        <w:t>》的政策解读</w:t>
      </w:r>
    </w:p>
    <w:p>
      <w:pPr>
        <w:pStyle w:val="3"/>
        <w:spacing w:before="0" w:beforeAutospacing="0" w:after="0" w:afterAutospacing="0" w:line="560" w:lineRule="exact"/>
        <w:jc w:val="center"/>
        <w:textAlignment w:val="baseline"/>
        <w:rPr>
          <w:rFonts w:hint="default" w:ascii="Times New Roman" w:hAnsi="Times New Roman" w:eastAsia="黑体" w:cs="Times New Roman"/>
          <w:color w:val="000000"/>
          <w:kern w:val="2"/>
          <w:sz w:val="32"/>
          <w:szCs w:val="32"/>
        </w:rPr>
      </w:pPr>
    </w:p>
    <w:p>
      <w:pPr>
        <w:pStyle w:val="3"/>
        <w:widowControl w:val="0"/>
        <w:overflowPunct w:val="0"/>
        <w:spacing w:before="0" w:beforeAutospacing="0" w:after="0" w:afterAutospacing="0" w:line="560" w:lineRule="exact"/>
        <w:jc w:val="both"/>
        <w:textAlignment w:val="baseline"/>
        <w:rPr>
          <w:rFonts w:hint="default" w:ascii="Times New Roman" w:hAnsi="Times New Roman" w:eastAsia="黑体" w:cs="Times New Roman"/>
          <w:b w:val="0"/>
          <w:bCs w:val="0"/>
          <w:color w:val="000000"/>
          <w:kern w:val="2"/>
          <w:sz w:val="32"/>
          <w:szCs w:val="32"/>
        </w:rPr>
      </w:pPr>
      <w:r>
        <w:rPr>
          <w:rFonts w:hint="eastAsia" w:ascii="Times New Roman" w:hAnsi="Times New Roman" w:eastAsia="黑体" w:cs="Times New Roman"/>
          <w:b w:val="0"/>
          <w:bCs w:val="0"/>
          <w:color w:val="000000"/>
          <w:kern w:val="2"/>
          <w:sz w:val="32"/>
          <w:szCs w:val="32"/>
          <w:lang w:eastAsia="zh-CN"/>
        </w:rPr>
        <w:t>一、</w:t>
      </w:r>
      <w:r>
        <w:rPr>
          <w:rFonts w:hint="default" w:ascii="Times New Roman" w:hAnsi="Times New Roman" w:eastAsia="黑体" w:cs="Times New Roman"/>
          <w:b w:val="0"/>
          <w:bCs w:val="0"/>
          <w:color w:val="000000"/>
          <w:kern w:val="2"/>
          <w:sz w:val="32"/>
          <w:szCs w:val="32"/>
        </w:rPr>
        <w:t>总则</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rPr>
        <w:t>为全面落实“盛京人才”战略，着力引进一批面向世界科技前沿、面向经济主战场、面向高精尖缺人才需求，带动</w:t>
      </w:r>
      <w:r>
        <w:rPr>
          <w:rFonts w:hint="eastAsia" w:ascii="Times New Roman" w:hAnsi="Times New Roman" w:eastAsia="仿宋_GB2312" w:cs="Times New Roman"/>
          <w:color w:val="000000"/>
          <w:kern w:val="2"/>
          <w:sz w:val="32"/>
          <w:szCs w:val="32"/>
          <w:lang w:eastAsia="zh-CN"/>
        </w:rPr>
        <w:t>沈阳</w:t>
      </w:r>
      <w:r>
        <w:rPr>
          <w:rFonts w:hint="default" w:ascii="Times New Roman" w:hAnsi="Times New Roman" w:eastAsia="仿宋_GB2312" w:cs="Times New Roman"/>
          <w:color w:val="000000"/>
          <w:kern w:val="2"/>
          <w:sz w:val="32"/>
          <w:szCs w:val="32"/>
        </w:rPr>
        <w:t>市产业转型升级和高新技术产业发展的海外高端科技创新人才和经营管理人才，根据《沈阳市建设创新创业人才高地的若干政策措施</w:t>
      </w:r>
      <w:r>
        <w:rPr>
          <w:rFonts w:hint="default" w:ascii="Times New Roman" w:hAnsi="Times New Roman" w:eastAsia="仿宋_GB2312" w:cs="Times New Roman"/>
          <w:bCs/>
          <w:color w:val="000000"/>
          <w:sz w:val="32"/>
          <w:szCs w:val="32"/>
        </w:rPr>
        <w:t>（新修订）</w:t>
      </w:r>
      <w:r>
        <w:rPr>
          <w:rFonts w:hint="default" w:ascii="Times New Roman" w:hAnsi="Times New Roman" w:eastAsia="仿宋_GB2312" w:cs="Times New Roman"/>
          <w:color w:val="000000"/>
          <w:kern w:val="2"/>
          <w:sz w:val="32"/>
          <w:szCs w:val="32"/>
        </w:rPr>
        <w:t>》（沈人社发﹝2021﹞19号）有关内容，制定本细则。</w:t>
      </w:r>
      <w:r>
        <w:rPr>
          <w:rFonts w:hint="default" w:ascii="Times New Roman" w:hAnsi="Times New Roman" w:eastAsia="仿宋_GB2312" w:cs="Times New Roman"/>
          <w:color w:val="000000"/>
          <w:sz w:val="32"/>
          <w:szCs w:val="32"/>
        </w:rPr>
        <w:t xml:space="preserve"> </w:t>
      </w:r>
    </w:p>
    <w:p>
      <w:pPr>
        <w:pStyle w:val="3"/>
        <w:widowControl w:val="0"/>
        <w:overflowPunct w:val="0"/>
        <w:spacing w:before="0" w:beforeAutospacing="0" w:after="0" w:afterAutospacing="0" w:line="560" w:lineRule="exact"/>
        <w:jc w:val="both"/>
        <w:textAlignment w:val="baseline"/>
        <w:rPr>
          <w:rFonts w:hint="eastAsia" w:ascii="黑体" w:hAnsi="黑体" w:eastAsia="黑体" w:cs="黑体"/>
          <w:color w:val="000000"/>
          <w:kern w:val="2"/>
          <w:sz w:val="32"/>
          <w:szCs w:val="32"/>
          <w:lang w:eastAsia="zh-CN"/>
        </w:rPr>
      </w:pPr>
      <w:r>
        <w:rPr>
          <w:rFonts w:hint="eastAsia" w:ascii="黑体" w:hAnsi="黑体" w:eastAsia="黑体" w:cs="黑体"/>
          <w:color w:val="000000"/>
          <w:sz w:val="32"/>
          <w:szCs w:val="32"/>
          <w:lang w:eastAsia="zh-CN"/>
        </w:rPr>
        <w:t>二、</w:t>
      </w:r>
      <w:r>
        <w:rPr>
          <w:rFonts w:hint="eastAsia" w:ascii="黑体" w:hAnsi="黑体" w:eastAsia="黑体" w:cs="黑体"/>
          <w:color w:val="000000"/>
          <w:kern w:val="2"/>
          <w:sz w:val="32"/>
          <w:szCs w:val="32"/>
        </w:rPr>
        <w:t>申报条件</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（一）市级高端外国专家是指能够突破关键技术、发展高新产业、带动新兴学科、发展我市经济的科学家、科技和经济领军人才、经营管理人才以及创新创业人才</w:t>
      </w:r>
      <w:r>
        <w:rPr>
          <w:rFonts w:hint="default" w:ascii="Times New Roman" w:hAnsi="Times New Roman" w:eastAsia="仿宋_GB2312" w:cs="Times New Roman"/>
          <w:color w:val="000000"/>
          <w:kern w:val="2"/>
          <w:sz w:val="32"/>
          <w:szCs w:val="32"/>
          <w:lang w:eastAsia="zh-CN"/>
        </w:rPr>
        <w:t>。</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（二）申报人应为外籍专家，原则上年龄不超过70周岁。申报人应符合下列条件之一：</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val="en-US" w:eastAsia="zh-CN"/>
        </w:rPr>
        <w:t>1.</w:t>
      </w:r>
      <w:r>
        <w:rPr>
          <w:rFonts w:hint="default" w:ascii="Times New Roman" w:hAnsi="Times New Roman" w:eastAsia="仿宋_GB2312" w:cs="Times New Roman"/>
          <w:color w:val="000000"/>
          <w:kern w:val="2"/>
          <w:sz w:val="32"/>
          <w:szCs w:val="32"/>
        </w:rPr>
        <w:t>在国外著名高校、科研院所担任相当教授职务的专家学者</w:t>
      </w:r>
      <w:r>
        <w:rPr>
          <w:rFonts w:hint="default" w:ascii="Times New Roman" w:hAnsi="Times New Roman" w:eastAsia="仿宋_GB2312" w:cs="Times New Roman"/>
          <w:color w:val="000000"/>
          <w:kern w:val="2"/>
          <w:sz w:val="32"/>
          <w:szCs w:val="32"/>
          <w:lang w:eastAsia="zh-CN"/>
        </w:rPr>
        <w:t>；</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2.在国际知名企业或金融机构担任高级职务的专业技术人才和经营管理人才</w:t>
      </w:r>
      <w:r>
        <w:rPr>
          <w:rFonts w:hint="default" w:ascii="Times New Roman" w:hAnsi="Times New Roman" w:eastAsia="仿宋_GB2312" w:cs="Times New Roman"/>
          <w:color w:val="000000"/>
          <w:kern w:val="2"/>
          <w:sz w:val="32"/>
          <w:szCs w:val="32"/>
          <w:lang w:eastAsia="zh-CN"/>
        </w:rPr>
        <w:t>；</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3.拥有自主知识产权或掌握核心技术的创新、创业人才</w:t>
      </w:r>
      <w:r>
        <w:rPr>
          <w:rFonts w:hint="default" w:ascii="Times New Roman" w:hAnsi="Times New Roman" w:eastAsia="仿宋_GB2312" w:cs="Times New Roman"/>
          <w:color w:val="000000"/>
          <w:kern w:val="2"/>
          <w:sz w:val="32"/>
          <w:szCs w:val="32"/>
          <w:lang w:eastAsia="zh-CN"/>
        </w:rPr>
        <w:t>；</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4.</w:t>
      </w:r>
      <w:r>
        <w:rPr>
          <w:rFonts w:hint="eastAsia" w:ascii="Times New Roman" w:hAnsi="Times New Roman" w:eastAsia="仿宋_GB2312" w:cs="Times New Roman"/>
          <w:color w:val="000000"/>
          <w:kern w:val="2"/>
          <w:sz w:val="32"/>
          <w:szCs w:val="32"/>
          <w:lang w:eastAsia="zh-CN"/>
        </w:rPr>
        <w:t>沈阳</w:t>
      </w:r>
      <w:r>
        <w:rPr>
          <w:rFonts w:hint="default" w:ascii="Times New Roman" w:hAnsi="Times New Roman" w:eastAsia="仿宋_GB2312" w:cs="Times New Roman"/>
          <w:color w:val="000000"/>
          <w:kern w:val="2"/>
          <w:sz w:val="32"/>
          <w:szCs w:val="32"/>
        </w:rPr>
        <w:t>市急需紧缺的其他高层次外国专家</w:t>
      </w:r>
      <w:r>
        <w:rPr>
          <w:rFonts w:hint="default" w:ascii="Times New Roman" w:hAnsi="Times New Roman" w:eastAsia="仿宋_GB2312" w:cs="Times New Roman"/>
          <w:color w:val="000000"/>
          <w:kern w:val="2"/>
          <w:sz w:val="32"/>
          <w:szCs w:val="32"/>
          <w:lang w:eastAsia="zh-CN"/>
        </w:rPr>
        <w:t>。</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（三）申报人应</w:t>
      </w:r>
      <w:r>
        <w:rPr>
          <w:rFonts w:hint="default" w:ascii="Times New Roman" w:hAnsi="Times New Roman" w:eastAsia="仿宋_GB2312" w:cs="Times New Roman"/>
          <w:color w:val="000000"/>
          <w:kern w:val="2"/>
          <w:sz w:val="32"/>
          <w:szCs w:val="32"/>
        </w:rPr>
        <w:t>已与申报单位签定年薪合同，</w:t>
      </w:r>
      <w:r>
        <w:rPr>
          <w:rFonts w:hint="default" w:ascii="Times New Roman" w:hAnsi="Times New Roman" w:eastAsia="仿宋_GB2312" w:cs="Times New Roman"/>
          <w:color w:val="000000"/>
          <w:sz w:val="32"/>
          <w:szCs w:val="32"/>
        </w:rPr>
        <w:t>合同执行期已满12个月，且合同执行期内，申报人在申报单位累计工作时间超过30天，实际取得年薪30万元人民币以上（含税）；对于采取远程合作等方式实施的项目，申报单位应提供能证明外国专家工作量的网上工作视频等证明资料</w:t>
      </w:r>
      <w:r>
        <w:rPr>
          <w:rFonts w:hint="default" w:ascii="Times New Roman" w:hAnsi="Times New Roman" w:eastAsia="仿宋_GB2312" w:cs="Times New Roman"/>
          <w:color w:val="000000"/>
          <w:sz w:val="32"/>
          <w:szCs w:val="32"/>
          <w:lang w:eastAsia="zh-CN"/>
        </w:rPr>
        <w:t>。</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（四）申报单位为驻沈非外资单位或中资控股单位。</w:t>
      </w:r>
    </w:p>
    <w:p>
      <w:pPr>
        <w:pStyle w:val="3"/>
        <w:widowControl w:val="0"/>
        <w:overflowPunct w:val="0"/>
        <w:spacing w:before="0" w:beforeAutospacing="0" w:after="0" w:afterAutospacing="0" w:line="560" w:lineRule="exact"/>
        <w:jc w:val="both"/>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申报时间</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z w:val="32"/>
          <w:szCs w:val="32"/>
        </w:rPr>
        <w:t>每年1月份申报上一年度年薪资助项目</w:t>
      </w:r>
      <w:r>
        <w:rPr>
          <w:rFonts w:hint="default" w:ascii="Times New Roman" w:hAnsi="Times New Roman" w:eastAsia="仿宋_GB2312" w:cs="Times New Roman"/>
          <w:color w:val="000000"/>
          <w:sz w:val="32"/>
          <w:szCs w:val="32"/>
          <w:lang w:eastAsia="zh-CN"/>
        </w:rPr>
        <w:t>。</w:t>
      </w:r>
    </w:p>
    <w:p>
      <w:pPr>
        <w:pStyle w:val="3"/>
        <w:widowControl w:val="0"/>
        <w:overflowPunct w:val="0"/>
        <w:spacing w:before="0" w:beforeAutospacing="0" w:after="0" w:afterAutospacing="0" w:line="560" w:lineRule="exact"/>
        <w:jc w:val="both"/>
        <w:textAlignment w:val="baseline"/>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管理监督</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资助经费按照专家实际取得年薪（含税）30</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50万元</w:t>
      </w:r>
      <w:r>
        <w:rPr>
          <w:rFonts w:hint="eastAsia" w:ascii="Times New Roman" w:hAnsi="Times New Roman" w:eastAsia="仿宋_GB2312" w:cs="Times New Roman"/>
          <w:color w:val="000000"/>
          <w:kern w:val="2"/>
          <w:sz w:val="32"/>
          <w:szCs w:val="32"/>
          <w:lang w:eastAsia="zh-CN"/>
        </w:rPr>
        <w:t>（含</w:t>
      </w:r>
      <w:r>
        <w:rPr>
          <w:rFonts w:hint="eastAsia" w:ascii="Times New Roman" w:hAnsi="Times New Roman" w:eastAsia="仿宋_GB2312" w:cs="Times New Roman"/>
          <w:color w:val="000000"/>
          <w:kern w:val="2"/>
          <w:sz w:val="32"/>
          <w:szCs w:val="32"/>
          <w:lang w:val="en-US" w:eastAsia="zh-CN"/>
        </w:rPr>
        <w:t>50万元）</w:t>
      </w:r>
      <w:r>
        <w:rPr>
          <w:rFonts w:hint="default" w:ascii="Times New Roman" w:hAnsi="Times New Roman" w:eastAsia="仿宋_GB2312" w:cs="Times New Roman"/>
          <w:color w:val="000000"/>
          <w:kern w:val="2"/>
          <w:sz w:val="32"/>
          <w:szCs w:val="32"/>
        </w:rPr>
        <w:t>、50</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80万元</w:t>
      </w:r>
      <w:r>
        <w:rPr>
          <w:rFonts w:hint="eastAsia" w:ascii="Times New Roman" w:hAnsi="Times New Roman" w:eastAsia="仿宋_GB2312" w:cs="Times New Roman"/>
          <w:color w:val="000000"/>
          <w:kern w:val="2"/>
          <w:sz w:val="32"/>
          <w:szCs w:val="32"/>
          <w:lang w:eastAsia="zh-CN"/>
        </w:rPr>
        <w:t>（含</w:t>
      </w:r>
      <w:r>
        <w:rPr>
          <w:rFonts w:hint="eastAsia" w:ascii="Times New Roman" w:hAnsi="Times New Roman" w:eastAsia="仿宋_GB2312" w:cs="Times New Roman"/>
          <w:color w:val="000000"/>
          <w:kern w:val="2"/>
          <w:sz w:val="32"/>
          <w:szCs w:val="32"/>
          <w:lang w:val="en-US" w:eastAsia="zh-CN"/>
        </w:rPr>
        <w:t>80万元）</w:t>
      </w:r>
      <w:r>
        <w:rPr>
          <w:rFonts w:hint="default" w:ascii="Times New Roman" w:hAnsi="Times New Roman" w:eastAsia="仿宋_GB2312" w:cs="Times New Roman"/>
          <w:color w:val="000000"/>
          <w:kern w:val="2"/>
          <w:sz w:val="32"/>
          <w:szCs w:val="32"/>
        </w:rPr>
        <w:t>、80万元以上3个区间，分别按年薪的40％、50％、60％的标准给予资助，资助金额最高不超过60万元。</w:t>
      </w:r>
      <w:r>
        <w:rPr>
          <w:rFonts w:hint="default" w:ascii="Times New Roman" w:hAnsi="Times New Roman" w:eastAsia="仿宋_GB2312" w:cs="Times New Roman"/>
          <w:color w:val="000000"/>
          <w:sz w:val="32"/>
          <w:szCs w:val="32"/>
        </w:rPr>
        <w:t xml:space="preserve"> </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获批资助的申报单位要严格使用资助经费，做到专项管理、专账核算、专款专用，不得擅自改变其性质</w:t>
      </w:r>
      <w:bookmarkStart w:id="0" w:name="_GoBack"/>
      <w:bookmarkEnd w:id="0"/>
      <w:r>
        <w:rPr>
          <w:rFonts w:hint="default" w:ascii="Times New Roman" w:hAnsi="Times New Roman" w:eastAsia="仿宋_GB2312" w:cs="Times New Roman"/>
          <w:color w:val="000000"/>
          <w:sz w:val="32"/>
          <w:szCs w:val="32"/>
        </w:rPr>
        <w:t>和用途，不得挪用和挤占资助经费，不得超标准、超范围使用资助经费。</w:t>
      </w: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sz w:val="32"/>
          <w:szCs w:val="32"/>
        </w:rPr>
      </w:pPr>
    </w:p>
    <w:p>
      <w:pPr>
        <w:pStyle w:val="3"/>
        <w:widowControl w:val="0"/>
        <w:overflowPunct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kern w:val="2"/>
          <w:sz w:val="32"/>
          <w:szCs w:val="32"/>
        </w:rPr>
      </w:pP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本细则自</w:t>
      </w:r>
      <w:r>
        <w:rPr>
          <w:rFonts w:hint="default" w:ascii="Times New Roman" w:hAnsi="Times New Roman" w:eastAsia="仿宋_GB2312" w:cs="Times New Roman"/>
          <w:bCs/>
          <w:color w:val="000000"/>
          <w:sz w:val="32"/>
          <w:szCs w:val="32"/>
        </w:rPr>
        <w:t>2021年8月1日起试行</w:t>
      </w:r>
      <w:r>
        <w:rPr>
          <w:rFonts w:hint="default" w:ascii="Times New Roman" w:hAnsi="Times New Roman" w:eastAsia="仿宋_GB2312" w:cs="Times New Roman"/>
          <w:color w:val="000000"/>
          <w:kern w:val="2"/>
          <w:sz w:val="32"/>
          <w:szCs w:val="32"/>
        </w:rPr>
        <w:t>，有效期一年。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75BEB"/>
    <w:rsid w:val="2C175BEB"/>
    <w:rsid w:val="54F92A0F"/>
    <w:rsid w:val="6349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Calibri" w:eastAsia="仿宋" w:cs="Times New Roman"/>
      <w:kern w:val="2"/>
      <w:sz w:val="32"/>
      <w:szCs w:val="22"/>
      <w:lang w:val="en-US" w:eastAsia="zh-CN" w:bidi="ar-SA"/>
    </w:rPr>
  </w:style>
  <w:style w:type="paragraph" w:styleId="2">
    <w:name w:val="heading 1"/>
    <w:basedOn w:val="1"/>
    <w:next w:val="1"/>
    <w:qFormat/>
    <w:uiPriority w:val="9"/>
    <w:pPr>
      <w:spacing w:line="640" w:lineRule="exact"/>
      <w:ind w:firstLine="632" w:firstLineChars="200"/>
      <w:outlineLvl w:val="0"/>
    </w:pPr>
    <w:rPr>
      <w:rFonts w:ascii="黑体" w:hAnsi="黑体" w:eastAsia="黑体"/>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2021-09-27T07:38:00Z</dcterms:created>
  <dc:creator>岳雨</dc:creator>
  <cp:lastModifiedBy>岳雨</cp:lastModifiedBy>
  <dcterms:modified xsi:type="dcterms:W3CDTF">2021-09-27T08:04:32Z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